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449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/>
        <w:ind w:firstLine="567"/>
        <w:jc w:val="right"/>
        <w:rPr>
          <w:sz w:val="22"/>
          <w:szCs w:val="22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Муратшиной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Зульфии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Шаймулловны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63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51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Евразия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зарегистрированной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6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5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6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6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20.35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01.09.2021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</w:rPr>
        <w:t>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szCs w:val="26"/>
        </w:rPr>
        <w:t>ООО «Евразия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находясь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 строение 1/11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допустил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 требований к антитеррористической защищенности гостиниц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«Юганка-2» (далее - Объект), а именно: не произвела комиссионное обследовани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категорирование Объекта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судом о времени и месте рассмотрения дела надлежащим образом, в судебное заседание не явилась, о причинах неявки суду не сообщила.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З.Ш. в ее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помощник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szCs w:val="26"/>
        </w:rPr>
        <w:t>Князев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.В. постановление о возбуждении дела об административном правонарушении в отношении генерального директора ООО «Евразия»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З.Ш. поддержал в полном объеме, просил 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З.Ш. к административной ответственности по ч. 1 ст. 20.35 КоАП РФ, и назначить ей минимальное наказание.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межрайпрокурора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Князев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генерального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З.Ш.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03.04.2025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01.09.2021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должностное лицо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директор ООО «Евразия»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З.Ш., находясь по адресу: ХМАО-Югра, г. Нефтеюганск,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строение 1/11, допустила нарушение требований к антитеррористической </w:t>
      </w:r>
      <w:r>
        <w:rPr>
          <w:rFonts w:ascii="Times New Roman" w:eastAsia="Times New Roman" w:hAnsi="Times New Roman" w:cs="Times New Roman"/>
          <w:sz w:val="26"/>
          <w:szCs w:val="26"/>
        </w:rPr>
        <w:t>защищенности гостиницы «Юганка-2» (далее - Объект), а именно: не произвела комиссионное обследование и категорирование Объекта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решением о проведении проверки от 24.03.2025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ООО «Евразия» на предмет исполнения требований законодательства об антитеррористической защищенности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межрайонного прокурора от </w:t>
      </w:r>
      <w:r>
        <w:rPr>
          <w:rFonts w:ascii="Times New Roman" w:eastAsia="Times New Roman" w:hAnsi="Times New Roman" w:cs="Times New Roman"/>
          <w:sz w:val="26"/>
          <w:szCs w:val="26"/>
        </w:rPr>
        <w:t>24.03.2025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ЕГРЮЛ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договора аренды № 3 от 01.07.2024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свидетельства о праве на долю в общем имуществе супругов, выдаваемое пережившему супругу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ответом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МОВО-филиала ФГКУ «УВО ВНГ России по ХМАО-Югре» на исполнение запроса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межрайонного прокурора от 24.03.2025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копией информационного письма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З.Ш. от 02.04.2025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она </w:t>
      </w:r>
      <w:r>
        <w:rPr>
          <w:rFonts w:ascii="Times New Roman" w:eastAsia="Times New Roman" w:hAnsi="Times New Roman" w:cs="Times New Roman"/>
          <w:sz w:val="26"/>
          <w:szCs w:val="26"/>
        </w:rPr>
        <w:t>явля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ется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«Евразия» и предоставля</w:t>
      </w:r>
      <w:r>
        <w:rPr>
          <w:rFonts w:ascii="Times New Roman" w:eastAsia="Times New Roman" w:hAnsi="Times New Roman" w:cs="Times New Roman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услуги гостиничной сферы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примерно с 2021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владельцем гостиницы «Юганка-2», расположенной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 - Югра, г. Нефтеюганск, ул. </w:t>
      </w:r>
      <w:r>
        <w:rPr>
          <w:rFonts w:ascii="Times New Roman" w:eastAsia="Times New Roman" w:hAnsi="Times New Roman" w:cs="Times New Roman"/>
          <w:sz w:val="26"/>
          <w:szCs w:val="26"/>
        </w:rPr>
        <w:t>Сур</w:t>
      </w:r>
      <w:r>
        <w:rPr>
          <w:rFonts w:ascii="Times New Roman" w:eastAsia="Times New Roman" w:hAnsi="Times New Roman" w:cs="Times New Roman"/>
          <w:sz w:val="26"/>
          <w:szCs w:val="26"/>
        </w:rPr>
        <w:t>гутская</w:t>
      </w:r>
      <w:r>
        <w:rPr>
          <w:rFonts w:ascii="Times New Roman" w:eastAsia="Times New Roman" w:hAnsi="Times New Roman" w:cs="Times New Roman"/>
          <w:sz w:val="26"/>
          <w:szCs w:val="26"/>
        </w:rPr>
        <w:t>, строение 1/11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Указанное помещение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аренду</w:t>
      </w:r>
      <w:r>
        <w:rPr>
          <w:rFonts w:ascii="Times New Roman" w:eastAsia="Times New Roman" w:hAnsi="Times New Roman" w:cs="Times New Roman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договора аренды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имущества от 01.07.2024 № 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26.03.2025 межрайонной прокуратурой совместно с сотрудниками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МОВО - филиала ФГКУ «УВО ВНГ России по Ханты-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Мансийскому автономному округу — Югре» на Объекте проведена выездная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проверка исполнения требований к антитеррористической защищенности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Объекта.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остиница функционирует примерно с июля 2021 года. Комиссионное обследование гостиницы для проведения ее категорирования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производилось, хотя </w:t>
      </w:r>
      <w:r>
        <w:rPr>
          <w:rFonts w:ascii="Times New Roman" w:eastAsia="Times New Roman" w:hAnsi="Times New Roman" w:cs="Times New Roman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обязана была это сделать.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выявленными нарушениями согласна, обязу</w:t>
      </w:r>
      <w:r>
        <w:rPr>
          <w:rFonts w:ascii="Times New Roman" w:eastAsia="Times New Roman" w:hAnsi="Times New Roman" w:cs="Times New Roman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устранить их в кратчайшие сроки.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административном правонарушении, последовательны, согласуются между собой, и у судьи нет оснований им не доверять. Существенных недостатков, влекущих невозможность использования документов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 20.35 Кодекса Российской Федерации об административных правонарушениях,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деяния, влечет наложение административного штрафа на должностных лиц - от тридцати тысяч до пятидесяти тысяч рублей или дисквалификацию на срок от шести месяцев до трех лет.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3.1 Федерального закона от 06.03.2006 № 35-ФЗ «О противодействии терроризму» юридические лица обеспечивают выполнение требований к антитеррористической защищенности в отношении объектов, находящихся в их собственности или принадлежащих им на ином законном основании.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 10 Концепции противодействия терроризму в Российской Федерации, утвержденной Указом Президента Российской Федерации от 05.10.2009 (далее - Концепция)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Подпунктом «б» пункта 13 Концепции установлено, что предупреждение терроризма осуществляется посредством реализации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 5 Федерального закона от 06.03.2006 № 35-ФЗ «О противодействии терроризму» устанавливает Правительство Российской Федерации.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Разделом II Требований к антитеррористическ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защищенности гостиниц и иных средств размещения и формы паспорт безопасности этих объектов (далее - Требования), </w:t>
      </w:r>
      <w:r>
        <w:rPr>
          <w:rFonts w:ascii="Times New Roman" w:eastAsia="Times New Roman" w:hAnsi="Times New Roman" w:cs="Times New Roman"/>
          <w:sz w:val="26"/>
          <w:szCs w:val="26"/>
        </w:rPr>
        <w:t>утв. постановление Правительства Российской Федерации от 14.04.2017 № 447, в целях установлени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дифференцированных требований по обеспечению антитеррористическо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защищенности гостиниц осуществляется их категорирование на основани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комиссионного обследования.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2 Требований ответственность за обеспечени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антитеррористической защищенности гостиниц и иных средств размещени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возлагается на руководителя юридического лица, являющегося собственника гостиницы или использующего ее на ином законном основании, или физическо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лицо, являющееся собственником гостиницы или использующее ее на ино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законном основании, если иное не установлено законодательством Российское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выписке из ЕГРЮЛ от 25.03.2025 № ЮЭ9965-25-4209176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видам деятельности ООО «Евразия» относятся, среди прочих 55.10 Деятельность гостиниц и прочих мест для временного проживания: 55.90 Деятельность по предоставлению прочих мест для временного проживания,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енеральным директором Общества с 09.06.2014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разделу 1 Договора аренды № 3 от 01.07.2024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Общество, в лице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З.Ш., приняло во временное пользование здание, расположенное по адресу: ХМАО - Югра, г. Нефтеюганск,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 строение 1/11.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сведениям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МОВО - филиала ФЕКУ «УВО ВН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по Ханты-Мансийскому автономному округу - Югре» от 27.03.2025 № 6457/8-535, объяснений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З.Ш. от 02.04.2025, обследование и категорирование Объекта не производилось.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содержания п. 9 Требований при вводе в эксплуатацию новой гостиницы комиссия создается в течение одного месяца со дня окончания необходимых мероприятий по ее вводу в эксплуатацию.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06.10.2022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МОВО - филиала ФЕКУ «УВО ВН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по Ханты-Мансийскому автономному округу - Югре» в адрес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З.Ш. направлена информация № </w:t>
      </w:r>
      <w:r>
        <w:rPr>
          <w:rFonts w:ascii="Times New Roman" w:eastAsia="Times New Roman" w:hAnsi="Times New Roman" w:cs="Times New Roman"/>
          <w:sz w:val="26"/>
          <w:szCs w:val="26"/>
        </w:rPr>
        <w:t>6457/12-1717 о необходимости произвести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комиссионное обследование и категорирование Объекта. Информация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З.Ш. проигнорирована.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месяца со дня начала функционирования Объекта мероприятия, предусмотренные п. 9 Требований, не выполнены. Согласно объяснениям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З.Ш. от 02.04.2025 гостиница функционирует с июля 2021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считает, что факт совершения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«Евразия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З.Ш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административного правонарушения в судебном заседании установлен и подтвержден совокупностью собранных по делу доказательств, и квалифицирует ее действия по ч. 1 ст. 20.35 Кодекса РФ об административных правонарушениях как нарушение требований к обеспечению требований к антитеррористической защищенности объектов (территорий), за исключением случаев, предусмотренных частью 2 указанной статьи, статьями 11.15.1 и 20.30 указанного Кодекса, если эти действия не содержат признаков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признания совершенного административного правонарушения малозначительным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Кодекса РФ об административных правонарушениях об административных правонарушениях, исключающих производство по делу об административном правонарушении, мировым судьей не установлено.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установленные ст. 4.5 Кодекса РФ об административных правонарушениях, не истекли.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З.Ш</w:t>
      </w:r>
      <w:r>
        <w:rPr>
          <w:rFonts w:ascii="Times New Roman" w:eastAsia="Times New Roman" w:hAnsi="Times New Roman" w:cs="Times New Roman"/>
          <w:sz w:val="26"/>
          <w:szCs w:val="26"/>
        </w:rPr>
        <w:t>., ее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в соответствии со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4.2, </w:t>
      </w:r>
      <w:r>
        <w:rPr>
          <w:rFonts w:ascii="Times New Roman" w:eastAsia="Times New Roman" w:hAnsi="Times New Roman" w:cs="Times New Roman"/>
          <w:sz w:val="26"/>
          <w:szCs w:val="26"/>
        </w:rPr>
        <w:t>4.3 Кодекса Российской Федерации об административных правонарушениях, не имеется.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З.Ш</w:t>
      </w:r>
      <w:r>
        <w:rPr>
          <w:rFonts w:ascii="Times New Roman" w:eastAsia="Times New Roman" w:hAnsi="Times New Roman" w:cs="Times New Roman"/>
          <w:sz w:val="26"/>
          <w:szCs w:val="26"/>
        </w:rPr>
        <w:t>., мировой судья назначает ей административное наказание в виде административного штрафа, в соответствии с требованиями статей 3.1, 4.1 КоАП РФ, в минимальных пределах санкции, предусмотренной ч.1 ст. 20.35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22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1.3 - 3 статьи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 уплате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привлеченным к административной ответственности за совершение данного 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штрафа, за исключением административных правонарушений, предусмотренных статьями 13.15, 13.37, 14.31, 14.31.2, частями 5 - 7 статьи 14.32, статьями 14.33, 14.56, 15.21, 15.30, 19.3, частями 1 - 8.1, 9.1 - 39 статьи 19.5, статьями 19.5.1, 19.6, 19.8 - 19.8.2, 19.23, частями 2 и 3 статьи 19.27, статьями 19.28, 19.29, 19.30, 19.33, 19.34, 20.3, частью 2 статьи 20.28 настоящего Кодекса.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hyperlink r:id="rId4" w:anchor="/document/409383248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Конституционного Суда РФ от 18 июля 2024 года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39-П "По делу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проверке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конституционности положения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22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-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в связи с жалобой общества с ограниченной ответственностью "НТСИ Телеком" 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22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-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 признано не соответствующим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300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Конституции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Федерации, ее статьям 19 (части 1 и 2), 34 (часть 1), 35 (части 1, 2 и 3), 55 (часть 3) и 75.1, в той мере, в какой оно в системе действующего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правового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регулирования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 по смыслу, придаваемому ему судебным толкованием, не предоставляет возможности льготной (в половинном размере) уплаты административного штрафа в случае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выявления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в ходе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проведенной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органами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прокуратуры</w:t>
      </w:r>
      <w:r>
        <w:rPr>
          <w:rFonts w:ascii="Times New Roman" w:eastAsia="Times New Roman" w:hAnsi="Times New Roman" w:cs="Times New Roman"/>
          <w:sz w:val="26"/>
          <w:szCs w:val="26"/>
        </w:rPr>
        <w:t>, с указанием на то, что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впредь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внесения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изменений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правовое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регулирование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настоящим Постановлением в случае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выявления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в ходе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проведенной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органами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прокуратуры</w:t>
      </w:r>
      <w:r>
        <w:rPr>
          <w:rFonts w:ascii="Times New Roman" w:eastAsia="Times New Roman" w:hAnsi="Times New Roman" w:cs="Times New Roman"/>
          <w:sz w:val="26"/>
          <w:szCs w:val="26"/>
        </w:rPr>
        <w:t>, должна предоставляться предусмотренная положением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22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-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 возможность льготной (в половинном размере) уплаты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положения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322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1.3-3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 могут быть применимы в том числе и при выявлении правонарушения в ходе осуществления прокурорского надзора.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Поскольку указанное правонарушение выявлено прокуратурой в ходе проведения проверки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исполнения законодательства об </w:t>
      </w:r>
      <w:r>
        <w:rPr>
          <w:rFonts w:ascii="Times New Roman" w:eastAsia="Times New Roman" w:hAnsi="Times New Roman" w:cs="Times New Roman"/>
          <w:sz w:val="26"/>
          <w:szCs w:val="26"/>
        </w:rPr>
        <w:t>антитеррористической защищенности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то в данном случае имеются основания для 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 половины суммы назначенного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0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«Евразия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Муратшин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Зульфи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Шаймулловн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 20.35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30 000 (тридцать тысяч) рублей.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8601073664,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0412365400395004492520138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привлеченным к административной ответственности за совершение данного 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штрафа, за исключением административных правонарушений, предусмотренных статьями 13.15, 13.37, 14.31, 14.31.2, частями 5 - 7 статьи 14.32, статьями 14.33, 14.56, 15.21, 15.30, 19.3, частями 1 - 8.1, 9.1 - 39 статьи 19.5, статьями 19.5.1, 19.6, 19.8 - 19.8.2, 19.23, частями 2 и 3 статьи 19.27, статьями 19.28, 19.29, 19.30, 19.33, 19.34, 20.3, частью 2 статьи 20.28 настоящего Кодекса.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такое постановление, административный штраф уплачивается в полном размере.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- Югры в течение десяти дней со дня получения копии постановления, через мирового судью.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Агзямова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UserDefinedgrp-68rplc-92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100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7"/>
        <w:gridCol w:w="1712"/>
      </w:tblGrid>
      <w:tr>
        <w:tblPrEx>
          <w:tblW w:w="100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5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tbl>
            <w:tblPr>
              <w:tblpPr w:leftFromText="180" w:rightFromText="180" w:topFromText="0" w:bottomFromText="0" w:vertAnchor="text" w:tblpY="1"/>
              <w:tblOverlap w:val="never"/>
              <w:tblW w:w="10581" w:type="dxa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32"/>
              <w:gridCol w:w="5149"/>
            </w:tblGrid>
            <w:tr>
              <w:tblPrEx>
                <w:tblW w:w="10581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56"/>
              </w:trPr>
              <w:tc>
                <w:tcPr>
                  <w:tcW w:w="5387" w:type="dxa"/>
                  <w:noWrap w:val="0"/>
                  <w:tcMar>
                    <w:top w:w="5" w:type="dxa"/>
                    <w:left w:w="113" w:type="dxa"/>
                    <w:bottom w:w="5" w:type="dxa"/>
                    <w:right w:w="113" w:type="dxa"/>
                  </w:tcMar>
                  <w:vAlign w:val="top"/>
                  <w:hideMark/>
                </w:tcPr>
                <w:p>
                  <w:pPr>
                    <w:spacing w:before="0" w:after="0"/>
                    <w:ind w:left="959" w:hanging="959"/>
                    <w:jc w:val="center"/>
                    <w:rPr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hyperlink r:id="rId6" w:history="1"/>
                </w:p>
              </w:tc>
              <w:tc>
                <w:tcPr>
                  <w:tcW w:w="5194" w:type="dxa"/>
                  <w:noWrap w:val="0"/>
                  <w:tcMar>
                    <w:top w:w="5" w:type="dxa"/>
                    <w:left w:w="113" w:type="dxa"/>
                    <w:bottom w:w="5" w:type="dxa"/>
                    <w:right w:w="113" w:type="dxa"/>
                  </w:tcMar>
                  <w:vAlign w:val="top"/>
                  <w:hideMark/>
                </w:tcPr>
                <w:p>
                  <w:pPr>
                    <w:spacing w:before="0" w:after="0"/>
                    <w:rPr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42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743" w:hanging="743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</w:pPr>
    </w:p>
    <w:sectPr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62893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63rplc-5">
    <w:name w:val="cat-ExternalSystemDefined grp-63 rplc-5"/>
    <w:basedOn w:val="DefaultParagraphFont"/>
  </w:style>
  <w:style w:type="character" w:customStyle="1" w:styleId="cat-PassportDatagrp-51rplc-6">
    <w:name w:val="cat-PassportData grp-51 rplc-6"/>
    <w:basedOn w:val="DefaultParagraphFont"/>
  </w:style>
  <w:style w:type="character" w:customStyle="1" w:styleId="cat-UserDefinedgrp-66rplc-8">
    <w:name w:val="cat-UserDefined grp-66 rplc-8"/>
    <w:basedOn w:val="DefaultParagraphFont"/>
  </w:style>
  <w:style w:type="character" w:customStyle="1" w:styleId="cat-PassportDatagrp-52rplc-10">
    <w:name w:val="cat-PassportData grp-52 rplc-10"/>
    <w:basedOn w:val="DefaultParagraphFont"/>
  </w:style>
  <w:style w:type="character" w:customStyle="1" w:styleId="cat-ExternalSystemDefinedgrp-65rplc-11">
    <w:name w:val="cat-ExternalSystemDefined grp-65 rplc-11"/>
    <w:basedOn w:val="DefaultParagraphFont"/>
  </w:style>
  <w:style w:type="character" w:customStyle="1" w:styleId="cat-ExternalSystemDefinedgrp-64rplc-12">
    <w:name w:val="cat-ExternalSystemDefined grp-64 rplc-12"/>
    <w:basedOn w:val="DefaultParagraphFont"/>
  </w:style>
  <w:style w:type="character" w:customStyle="1" w:styleId="cat-UserDefinedgrp-67rplc-89">
    <w:name w:val="cat-UserDefined grp-67 rplc-89"/>
    <w:basedOn w:val="DefaultParagraphFont"/>
  </w:style>
  <w:style w:type="character" w:customStyle="1" w:styleId="cat-UserDefinedgrp-68rplc-92">
    <w:name w:val="cat-UserDefined grp-68 rplc-92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://www.mirsud86.ru" TargetMode="Externa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3866-F979-4407-A7CA-99366C19A07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